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FFFE0" w14:textId="77777777" w:rsidR="005C1B77" w:rsidRPr="00522A55" w:rsidRDefault="005C1B77" w:rsidP="005C1B77">
      <w:pPr>
        <w:jc w:val="center"/>
        <w:rPr>
          <w:rFonts w:ascii="Arial" w:hAnsi="Arial" w:cs="Arial"/>
          <w:b/>
          <w:sz w:val="28"/>
          <w:szCs w:val="28"/>
        </w:rPr>
      </w:pPr>
      <w:r w:rsidRPr="00522A55">
        <w:rPr>
          <w:rFonts w:ascii="Arial" w:hAnsi="Arial" w:cs="Arial"/>
          <w:b/>
          <w:sz w:val="28"/>
          <w:szCs w:val="28"/>
        </w:rPr>
        <w:t>Technická správa</w:t>
      </w:r>
    </w:p>
    <w:p w14:paraId="193810FD" w14:textId="77777777" w:rsidR="005C1B77" w:rsidRPr="00522A55" w:rsidRDefault="005C1B77" w:rsidP="005C1B77">
      <w:pPr>
        <w:jc w:val="both"/>
        <w:rPr>
          <w:rFonts w:ascii="Arial" w:hAnsi="Arial" w:cs="Arial"/>
          <w:b/>
          <w:sz w:val="24"/>
          <w:szCs w:val="24"/>
        </w:rPr>
      </w:pPr>
      <w:r w:rsidRPr="00522A55">
        <w:rPr>
          <w:rFonts w:ascii="Arial" w:hAnsi="Arial" w:cs="Arial"/>
          <w:b/>
          <w:sz w:val="24"/>
          <w:szCs w:val="24"/>
        </w:rPr>
        <w:t>Všeobecne</w:t>
      </w:r>
    </w:p>
    <w:p w14:paraId="16F080DF" w14:textId="6B94EACE" w:rsidR="005C1B77" w:rsidRPr="006A7830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522A55">
        <w:rPr>
          <w:rFonts w:ascii="Arial" w:hAnsi="Arial" w:cs="Arial"/>
          <w:sz w:val="20"/>
          <w:szCs w:val="20"/>
        </w:rPr>
        <w:t xml:space="preserve">Predmetom tejto projektovej dokumentácie je </w:t>
      </w:r>
      <w:r w:rsidR="00614A88">
        <w:rPr>
          <w:rFonts w:ascii="Arial" w:hAnsi="Arial" w:cs="Arial"/>
          <w:sz w:val="20"/>
          <w:szCs w:val="20"/>
        </w:rPr>
        <w:t>napojenie elektroinštalácie MHD zastávky z rozvodu verejného osvetlenia</w:t>
      </w:r>
      <w:r w:rsidRPr="00522A55">
        <w:rPr>
          <w:rFonts w:ascii="Arial" w:hAnsi="Arial" w:cs="Arial"/>
          <w:sz w:val="20"/>
          <w:szCs w:val="20"/>
        </w:rPr>
        <w:t>.</w:t>
      </w:r>
      <w:r w:rsidR="00614A88">
        <w:rPr>
          <w:rFonts w:ascii="Arial" w:hAnsi="Arial" w:cs="Arial"/>
          <w:sz w:val="20"/>
          <w:szCs w:val="20"/>
        </w:rPr>
        <w:t xml:space="preserve"> </w:t>
      </w:r>
      <w:r w:rsidRPr="00522A55">
        <w:rPr>
          <w:rFonts w:ascii="Arial" w:hAnsi="Arial" w:cs="Arial"/>
          <w:sz w:val="20"/>
          <w:szCs w:val="20"/>
        </w:rPr>
        <w:t xml:space="preserve">Projekt je vypracovaný v rozsahu dokumentácia pre </w:t>
      </w:r>
      <w:r w:rsidRPr="006A7830">
        <w:rPr>
          <w:rFonts w:ascii="Arial" w:hAnsi="Arial" w:cs="Arial"/>
          <w:sz w:val="20"/>
          <w:szCs w:val="20"/>
        </w:rPr>
        <w:t>stavebné povolenie.</w:t>
      </w:r>
    </w:p>
    <w:p w14:paraId="238C9F04" w14:textId="48B7577E" w:rsidR="005C1B77" w:rsidRPr="006A7830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6A7830">
        <w:rPr>
          <w:rFonts w:ascii="Arial" w:hAnsi="Arial" w:cs="Arial"/>
          <w:sz w:val="20"/>
          <w:szCs w:val="20"/>
        </w:rPr>
        <w:t>Názov stavby:</w:t>
      </w:r>
      <w:r w:rsidRPr="006A7830">
        <w:rPr>
          <w:rFonts w:ascii="Arial" w:hAnsi="Arial" w:cs="Arial"/>
          <w:sz w:val="20"/>
          <w:szCs w:val="20"/>
        </w:rPr>
        <w:tab/>
      </w:r>
      <w:r w:rsidR="006A7830" w:rsidRPr="006A7830">
        <w:rPr>
          <w:rFonts w:ascii="Arial" w:hAnsi="Arial" w:cs="Arial"/>
          <w:bCs/>
          <w:sz w:val="20"/>
          <w:szCs w:val="20"/>
        </w:rPr>
        <w:t>Bytový dom Terchovská</w:t>
      </w:r>
      <w:r w:rsidR="00252DB1">
        <w:rPr>
          <w:rFonts w:ascii="Arial" w:hAnsi="Arial" w:cs="Arial"/>
          <w:bCs/>
          <w:sz w:val="20"/>
          <w:szCs w:val="20"/>
        </w:rPr>
        <w:t xml:space="preserve"> a dotknuté územie</w:t>
      </w:r>
    </w:p>
    <w:p w14:paraId="446F2B41" w14:textId="6686C71E" w:rsidR="005C1B77" w:rsidRPr="006A7830" w:rsidRDefault="005C1B77" w:rsidP="007D3787">
      <w:pPr>
        <w:ind w:left="1410" w:hanging="1410"/>
        <w:jc w:val="both"/>
        <w:rPr>
          <w:rFonts w:ascii="Arial" w:hAnsi="Arial" w:cs="Arial"/>
          <w:sz w:val="20"/>
          <w:szCs w:val="20"/>
        </w:rPr>
      </w:pPr>
      <w:r w:rsidRPr="006A7830">
        <w:rPr>
          <w:rFonts w:ascii="Arial" w:hAnsi="Arial" w:cs="Arial"/>
          <w:sz w:val="20"/>
          <w:szCs w:val="20"/>
        </w:rPr>
        <w:t>Miesto stavby:</w:t>
      </w:r>
      <w:r w:rsidRPr="006A7830">
        <w:rPr>
          <w:rFonts w:ascii="Arial" w:hAnsi="Arial" w:cs="Arial"/>
          <w:sz w:val="20"/>
          <w:szCs w:val="20"/>
        </w:rPr>
        <w:tab/>
      </w:r>
      <w:r w:rsidR="007D3787" w:rsidRPr="0011731F">
        <w:rPr>
          <w:rFonts w:ascii="Arial" w:hAnsi="Arial" w:cs="Arial"/>
          <w:sz w:val="20"/>
          <w:szCs w:val="20"/>
        </w:rPr>
        <w:t>Okres Bratislava II., Obec: BA-m.č. Ružinov, k.ú. Trnávka, pozemky na parcelách registra „C“ p.č. 17007/47, p.č. 17007/46 , p.č. 17014/2, p.č. 17016/1, p.č. 14472/1, p.č. 14472/53, p.č. 22247/9</w:t>
      </w:r>
    </w:p>
    <w:p w14:paraId="637EA0C2" w14:textId="77777777" w:rsidR="005D76FF" w:rsidRDefault="005D76FF" w:rsidP="005D76F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Investor:</w:t>
      </w:r>
      <w:r>
        <w:rPr>
          <w:rFonts w:ascii="Arial" w:hAnsi="Arial" w:cs="Arial"/>
          <w:sz w:val="20"/>
          <w:szCs w:val="20"/>
        </w:rPr>
        <w:tab/>
        <w:t>Hlavné mesto Slovenskej republiky</w:t>
      </w:r>
    </w:p>
    <w:p w14:paraId="0BEA1C6E" w14:textId="77777777" w:rsidR="005D76FF" w:rsidRDefault="005D76FF" w:rsidP="005D76F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Primaciálne nám. 1</w:t>
      </w:r>
    </w:p>
    <w:p w14:paraId="335377DD" w14:textId="0FCA3F80" w:rsidR="005D76FF" w:rsidRDefault="005D76FF" w:rsidP="005C1B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811 99 Bratislava</w:t>
      </w:r>
    </w:p>
    <w:p w14:paraId="77DB2D75" w14:textId="5D26C4A9" w:rsidR="005C1B77" w:rsidRPr="006A7830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6A7830">
        <w:rPr>
          <w:rFonts w:ascii="Arial" w:hAnsi="Arial" w:cs="Arial"/>
          <w:sz w:val="20"/>
          <w:szCs w:val="20"/>
        </w:rPr>
        <w:t>Stupeň PD:</w:t>
      </w:r>
      <w:r w:rsidRPr="006A7830">
        <w:rPr>
          <w:rFonts w:ascii="Arial" w:hAnsi="Arial" w:cs="Arial"/>
          <w:sz w:val="20"/>
          <w:szCs w:val="20"/>
        </w:rPr>
        <w:tab/>
      </w:r>
      <w:r w:rsidRPr="006A7830">
        <w:rPr>
          <w:rFonts w:ascii="Arial" w:hAnsi="Arial" w:cs="Arial"/>
          <w:b/>
          <w:sz w:val="20"/>
          <w:szCs w:val="20"/>
        </w:rPr>
        <w:t>Dokumentácia pre stavebné povolenie</w:t>
      </w:r>
    </w:p>
    <w:p w14:paraId="2E6BE155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Predmetom projektu je</w:t>
      </w:r>
    </w:p>
    <w:p w14:paraId="7BB04F38" w14:textId="64DBDFCD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 xml:space="preserve">SO </w:t>
      </w:r>
      <w:r w:rsidR="00614A88">
        <w:rPr>
          <w:rFonts w:ascii="Arial" w:hAnsi="Arial" w:cs="Arial"/>
          <w:sz w:val="20"/>
          <w:szCs w:val="20"/>
        </w:rPr>
        <w:t>3</w:t>
      </w:r>
      <w:r w:rsidR="006A7830" w:rsidRPr="00620962">
        <w:rPr>
          <w:rFonts w:ascii="Arial" w:hAnsi="Arial" w:cs="Arial"/>
          <w:sz w:val="20"/>
          <w:szCs w:val="20"/>
        </w:rPr>
        <w:t>0</w:t>
      </w:r>
      <w:r w:rsidR="00614A88">
        <w:rPr>
          <w:rFonts w:ascii="Arial" w:hAnsi="Arial" w:cs="Arial"/>
          <w:sz w:val="20"/>
          <w:szCs w:val="20"/>
        </w:rPr>
        <w:t>7</w:t>
      </w:r>
      <w:r w:rsidRPr="00620962">
        <w:rPr>
          <w:rFonts w:ascii="Arial" w:hAnsi="Arial" w:cs="Arial"/>
          <w:sz w:val="20"/>
          <w:szCs w:val="20"/>
        </w:rPr>
        <w:t xml:space="preserve"> </w:t>
      </w:r>
      <w:r w:rsidR="00614A88">
        <w:rPr>
          <w:rFonts w:ascii="Arial" w:hAnsi="Arial" w:cs="Arial"/>
          <w:sz w:val="20"/>
          <w:szCs w:val="20"/>
        </w:rPr>
        <w:t>Prípojka NN pre vybavenie zastávky MHD</w:t>
      </w:r>
    </w:p>
    <w:p w14:paraId="56DC4F0D" w14:textId="77777777" w:rsidR="005C1B77" w:rsidRPr="00620962" w:rsidRDefault="005C1B77" w:rsidP="005C1B77">
      <w:pPr>
        <w:jc w:val="both"/>
        <w:rPr>
          <w:rFonts w:ascii="Arial" w:hAnsi="Arial" w:cs="Arial"/>
          <w:b/>
          <w:sz w:val="24"/>
          <w:szCs w:val="24"/>
        </w:rPr>
      </w:pPr>
      <w:r w:rsidRPr="00620962">
        <w:rPr>
          <w:rFonts w:ascii="Arial" w:hAnsi="Arial" w:cs="Arial"/>
          <w:b/>
          <w:sz w:val="24"/>
          <w:szCs w:val="24"/>
        </w:rPr>
        <w:t>Základné údaje</w:t>
      </w:r>
    </w:p>
    <w:p w14:paraId="5CD191C5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Predpisy a normy</w:t>
      </w:r>
    </w:p>
    <w:p w14:paraId="6ED2098E" w14:textId="77777777" w:rsidR="005C1B77" w:rsidRPr="00620962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 xml:space="preserve">Projektová dokumentácia je spracovaná v súlade s platnými slovenskými zákonmi, vyhláškami a normami. </w:t>
      </w:r>
    </w:p>
    <w:p w14:paraId="0AC5885F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Stupeň zabezpečenia dodávky el. energie v zmysle STN 34 1610 § 16 107</w:t>
      </w:r>
    </w:p>
    <w:p w14:paraId="570D5AAF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 xml:space="preserve">Tretí </w:t>
      </w:r>
    </w:p>
    <w:p w14:paraId="365CD1ED" w14:textId="77777777" w:rsidR="005C1B77" w:rsidRPr="00620962" w:rsidRDefault="005C1B77" w:rsidP="005C1B77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620962">
        <w:rPr>
          <w:rFonts w:ascii="Arial" w:eastAsia="Calibri" w:hAnsi="Arial" w:cs="Arial"/>
          <w:b/>
          <w:sz w:val="20"/>
          <w:szCs w:val="20"/>
        </w:rPr>
        <w:t>Skupina elektrických zariadení podľa Vyhlášky MPSVaR Slovenskej republiky č. 398/2013, ktorou sa mení a dopĺňa vyhláška MPSVaR Slovenskej republiky č. 508/2009 Zb.z. § 2, odst.1., resp. prílohy 1, časť III</w:t>
      </w:r>
    </w:p>
    <w:p w14:paraId="21EE4F96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Skupina „B“</w:t>
      </w:r>
    </w:p>
    <w:p w14:paraId="4E6FE2D7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Rozvodná sústava</w:t>
      </w:r>
    </w:p>
    <w:p w14:paraId="355E3889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3+PEN AC 50 Hz 230/400V TN-C</w:t>
      </w:r>
    </w:p>
    <w:p w14:paraId="7AAB9EDB" w14:textId="7757971A" w:rsidR="005C1B77" w:rsidRPr="00620962" w:rsidRDefault="00620962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1</w:t>
      </w:r>
      <w:r w:rsidR="005C1B77" w:rsidRPr="00620962">
        <w:rPr>
          <w:rFonts w:ascii="Arial" w:hAnsi="Arial" w:cs="Arial"/>
          <w:sz w:val="20"/>
          <w:szCs w:val="20"/>
        </w:rPr>
        <w:t>+N+PE AC 50 Hz 230V TN-C-S</w:t>
      </w:r>
    </w:p>
    <w:p w14:paraId="24FA3584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Druhy ochranných opatrení pred zásahom elektrickým prúdom</w:t>
      </w:r>
    </w:p>
    <w:p w14:paraId="2DE3C978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Základná ochrana - ochrana pred priamym dotykom podľa STN 33 2000-4-41:</w:t>
      </w:r>
    </w:p>
    <w:p w14:paraId="16B4C322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Samočinné odpojenie napájania - kap. 411</w:t>
      </w:r>
    </w:p>
    <w:p w14:paraId="2FAEAE38" w14:textId="77777777" w:rsidR="005C1B77" w:rsidRPr="00620962" w:rsidRDefault="005C1B77" w:rsidP="005C1B77">
      <w:pPr>
        <w:pStyle w:val="Odsekzoznamu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Základná izolácia živých častí - príloha A.1</w:t>
      </w:r>
    </w:p>
    <w:p w14:paraId="5B5E5D07" w14:textId="77777777" w:rsidR="005C1B77" w:rsidRPr="00620962" w:rsidRDefault="005C1B77" w:rsidP="005C1B77">
      <w:pPr>
        <w:pStyle w:val="Odsekzoznamu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Zábrany alebo kryty - príloha A.2</w:t>
      </w:r>
    </w:p>
    <w:p w14:paraId="4E23C8B5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Dvojitá alebo zosilnená izolácia – kap. 412</w:t>
      </w:r>
    </w:p>
    <w:p w14:paraId="4DD7A890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Ochrana pri poruche - ochrana pred nepriamym dotykom podľa STN 33 2000-4-41:</w:t>
      </w:r>
    </w:p>
    <w:p w14:paraId="656A69DC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Samočinné odpojenie napájania - kap. 411</w:t>
      </w:r>
    </w:p>
    <w:p w14:paraId="3E6C1D0D" w14:textId="77777777" w:rsidR="005C1B77" w:rsidRPr="00620962" w:rsidRDefault="005C1B77" w:rsidP="005C1B77">
      <w:pPr>
        <w:pStyle w:val="Odsekzoznamu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Ochranné uzemnenie a ochranné pospájanie - čl.411.3.1</w:t>
      </w:r>
    </w:p>
    <w:p w14:paraId="54A3466D" w14:textId="77777777" w:rsidR="005C1B77" w:rsidRPr="00620962" w:rsidRDefault="005C1B77" w:rsidP="005C1B77">
      <w:pPr>
        <w:pStyle w:val="Odsekzoznamu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Samočinné odpojenie pri poruche - čl.411.3.2</w:t>
      </w:r>
    </w:p>
    <w:p w14:paraId="16D1A11C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C5695">
        <w:rPr>
          <w:rFonts w:ascii="Arial" w:hAnsi="Arial" w:cs="Arial"/>
          <w:b/>
          <w:sz w:val="20"/>
          <w:szCs w:val="20"/>
        </w:rPr>
        <w:t>Energetická bilancia</w:t>
      </w:r>
    </w:p>
    <w:p w14:paraId="031E7D07" w14:textId="0A9D4E5A" w:rsidR="005C1B77" w:rsidRPr="002C5695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 xml:space="preserve">Pi = </w:t>
      </w:r>
      <w:r w:rsidR="00614A88">
        <w:rPr>
          <w:rFonts w:ascii="Arial" w:hAnsi="Arial" w:cs="Arial"/>
          <w:sz w:val="20"/>
          <w:szCs w:val="20"/>
        </w:rPr>
        <w:t>0,17</w:t>
      </w:r>
      <w:r w:rsidRPr="002C5695">
        <w:rPr>
          <w:rFonts w:ascii="Arial" w:hAnsi="Arial" w:cs="Arial"/>
          <w:sz w:val="20"/>
          <w:szCs w:val="20"/>
        </w:rPr>
        <w:t xml:space="preserve"> KW</w:t>
      </w:r>
      <w:r w:rsidRPr="002C5695">
        <w:rPr>
          <w:rFonts w:ascii="Arial" w:hAnsi="Arial" w:cs="Arial"/>
          <w:sz w:val="20"/>
          <w:szCs w:val="20"/>
        </w:rPr>
        <w:tab/>
      </w:r>
      <w:r w:rsidRPr="002C5695">
        <w:rPr>
          <w:rFonts w:ascii="Arial" w:hAnsi="Arial" w:cs="Arial"/>
          <w:sz w:val="20"/>
          <w:szCs w:val="20"/>
        </w:rPr>
        <w:tab/>
      </w:r>
      <w:r w:rsidRPr="002C5695">
        <w:rPr>
          <w:rFonts w:ascii="Arial" w:hAnsi="Arial" w:cs="Arial"/>
          <w:sz w:val="20"/>
          <w:szCs w:val="20"/>
        </w:rPr>
        <w:tab/>
      </w:r>
      <w:r w:rsidRPr="002C5695">
        <w:rPr>
          <w:rFonts w:ascii="Arial" w:hAnsi="Arial" w:cs="Arial"/>
          <w:sz w:val="20"/>
          <w:szCs w:val="20"/>
        </w:rPr>
        <w:tab/>
      </w:r>
      <w:r w:rsidRPr="002C5695">
        <w:rPr>
          <w:rFonts w:ascii="Arial" w:hAnsi="Arial" w:cs="Arial"/>
          <w:sz w:val="20"/>
          <w:szCs w:val="20"/>
        </w:rPr>
        <w:tab/>
        <w:t xml:space="preserve">Ps = </w:t>
      </w:r>
      <w:r w:rsidR="00614A88">
        <w:rPr>
          <w:rFonts w:ascii="Arial" w:hAnsi="Arial" w:cs="Arial"/>
          <w:sz w:val="20"/>
          <w:szCs w:val="20"/>
        </w:rPr>
        <w:t>0,17</w:t>
      </w:r>
      <w:r w:rsidRPr="002C5695">
        <w:rPr>
          <w:rFonts w:ascii="Arial" w:hAnsi="Arial" w:cs="Arial"/>
          <w:sz w:val="20"/>
          <w:szCs w:val="20"/>
        </w:rPr>
        <w:t xml:space="preserve"> kW</w:t>
      </w:r>
    </w:p>
    <w:p w14:paraId="43AF1E74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C5695">
        <w:rPr>
          <w:rFonts w:ascii="Arial" w:hAnsi="Arial" w:cs="Arial"/>
          <w:b/>
          <w:sz w:val="20"/>
          <w:szCs w:val="20"/>
        </w:rPr>
        <w:lastRenderedPageBreak/>
        <w:t>Meranie spotreby el. energie</w:t>
      </w:r>
    </w:p>
    <w:p w14:paraId="303028BA" w14:textId="77777777" w:rsidR="005C1B77" w:rsidRPr="002C5695" w:rsidRDefault="005C1B77" w:rsidP="005C1B77">
      <w:pPr>
        <w:jc w:val="both"/>
        <w:rPr>
          <w:rFonts w:ascii="Arial" w:eastAsia="Calibri" w:hAnsi="Arial" w:cs="Arial"/>
          <w:sz w:val="20"/>
          <w:szCs w:val="20"/>
        </w:rPr>
      </w:pPr>
      <w:r w:rsidRPr="002C5695">
        <w:rPr>
          <w:rFonts w:ascii="Arial" w:eastAsia="Calibri" w:hAnsi="Arial" w:cs="Arial"/>
          <w:sz w:val="20"/>
          <w:szCs w:val="20"/>
        </w:rPr>
        <w:t>Fakturačné meranie spotreby elektrickej energie nie je predmetom tejto PD.</w:t>
      </w:r>
    </w:p>
    <w:p w14:paraId="42973738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E2E3C68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C5695">
        <w:rPr>
          <w:rFonts w:ascii="Arial" w:hAnsi="Arial" w:cs="Arial"/>
          <w:b/>
          <w:sz w:val="20"/>
          <w:szCs w:val="20"/>
        </w:rPr>
        <w:t>Prostredia: určené komisionálne v zmysle STN 332000-5-51</w:t>
      </w:r>
    </w:p>
    <w:p w14:paraId="0ED02C30" w14:textId="77777777" w:rsidR="005C1B77" w:rsidRPr="002C5695" w:rsidRDefault="005C1B77" w:rsidP="005C1B7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2C5695">
        <w:rPr>
          <w:rFonts w:ascii="Arial" w:eastAsia="Calibri" w:hAnsi="Arial" w:cs="Arial"/>
          <w:sz w:val="20"/>
          <w:szCs w:val="20"/>
        </w:rPr>
        <w:t>Priestory v riešenom objekte sú priestory so zaradením:</w:t>
      </w:r>
    </w:p>
    <w:p w14:paraId="633BEF13" w14:textId="77777777" w:rsidR="005C1B77" w:rsidRPr="002C5695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>Vonkajšie priestory</w:t>
      </w:r>
    </w:p>
    <w:p w14:paraId="0D4F8A3E" w14:textId="77777777" w:rsidR="005C1B77" w:rsidRPr="002C5695" w:rsidRDefault="005C1B77" w:rsidP="005C1B77">
      <w:pPr>
        <w:jc w:val="both"/>
        <w:rPr>
          <w:rFonts w:ascii="Arial" w:eastAsia="Calibri" w:hAnsi="Arial" w:cs="Arial"/>
          <w:sz w:val="20"/>
          <w:szCs w:val="20"/>
        </w:rPr>
      </w:pPr>
      <w:r w:rsidRPr="002C5695">
        <w:rPr>
          <w:rFonts w:ascii="Arial" w:eastAsia="Calibri" w:hAnsi="Arial" w:cs="Arial"/>
          <w:sz w:val="20"/>
          <w:szCs w:val="20"/>
        </w:rPr>
        <w:t>Prostredie je stanovené podľa STN 3320005-51: AA7, AB7, AC1, AD1 (tr.4Z6 EN 60721-3-4), AM1-1, AM2-2, AM3-2, AM8-1, AM9-1, AN3, AP1, AQ3, BD1, BE1, CA1, CB1</w:t>
      </w:r>
    </w:p>
    <w:p w14:paraId="3F7713F0" w14:textId="77777777" w:rsidR="005C1B77" w:rsidRPr="002C5695" w:rsidRDefault="005C1B77" w:rsidP="005C1B77">
      <w:pPr>
        <w:jc w:val="both"/>
        <w:rPr>
          <w:rFonts w:ascii="Arial" w:eastAsia="Calibri" w:hAnsi="Arial" w:cs="Arial"/>
          <w:sz w:val="20"/>
          <w:szCs w:val="20"/>
        </w:rPr>
      </w:pPr>
      <w:r w:rsidRPr="002C5695">
        <w:rPr>
          <w:rFonts w:ascii="Arial" w:eastAsia="Calibri" w:hAnsi="Arial" w:cs="Arial"/>
          <w:sz w:val="20"/>
          <w:szCs w:val="20"/>
        </w:rPr>
        <w:t>Prostredia zohľadňujú predpokladané druhy prevádzky. Po uvedení do prevádzky je nutné prehodnotiť určené prostredia a vyhotoviť písomný záznam o ich potvrdení, prípadne o  ich úprave.</w:t>
      </w:r>
    </w:p>
    <w:p w14:paraId="5644A67E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C5695">
        <w:rPr>
          <w:rFonts w:ascii="Arial" w:hAnsi="Arial" w:cs="Arial"/>
          <w:b/>
          <w:sz w:val="20"/>
          <w:szCs w:val="20"/>
        </w:rPr>
        <w:t>Bezpečnostné upozornenia</w:t>
      </w:r>
    </w:p>
    <w:p w14:paraId="22B4147B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 xml:space="preserve">Montáž elektrických rozvodov a zariadení môžu vykonať iba odborne spôsobilé osoby podľa. §21 až §23 vyhl. Ministerstva práce, sociálnych vecí a rodiny SR č.508/2009 Zb.z.. Pri montáži sa musia dodržiavať platné bezpečnostné predpisy, hlavne podľa vyhlášky §3 a §9 SÚBP 59/82Zb. v znení vyhlášky SÚBP a SBÚ 147/2013Zb. a 484/90Zb. Najmä elektrické vedenia musia byť uložené a vyhotovené tak, aby boli prehľadné, čo najkratšie, a aby sa križovali len v odôvodnených prípadoch. Priechody elektrického vedenia stenami a konštrukciami musia byť vyhotovené tak, aby nebolo ohrozené elektrické vedenie, podklady ani okolité priestory. Vzdialenosti vodičov a káblov navzájom, od častí budov, nosných a iných konštrukcií musia byť vyhotovujúce podľa druhu izolácie vodičov a káblov a podľa ich uloženia. Spoje izolovaných vodičov nesmú znižovať stupeň izolácie elektrického vedenia. V rúrkach a podobnom úložnom materiály sa nesmú vodiče spájať. </w:t>
      </w:r>
    </w:p>
    <w:p w14:paraId="71826AF4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>Po montáži, pred uvedením do prevádzky sa musí vykonať odborná prehliadka a odborná skúška podľa. STN 33 1500, STN 33 2000-6 a vyhl. Ministerstva práce, sociálnych vecí a rodiny SR č.508/2009 Zb.z..</w:t>
      </w:r>
    </w:p>
    <w:p w14:paraId="334DFC4A" w14:textId="77777777" w:rsidR="005C1B77" w:rsidRPr="002C5695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>Pri prevádzkovaní navrhovaných el. zariadení dodržiavať ustanovenia STN 34 3100-08.</w:t>
      </w:r>
    </w:p>
    <w:p w14:paraId="51D48137" w14:textId="35222DB1" w:rsidR="005C1B77" w:rsidRPr="002C5695" w:rsidRDefault="00614A88" w:rsidP="005C1B7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Technické riešenie</w:t>
      </w:r>
    </w:p>
    <w:p w14:paraId="48086636" w14:textId="23356F66" w:rsidR="00614A88" w:rsidRDefault="00614A88" w:rsidP="00614A88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Rekonštruovaná zastávka MHD bude vybavená prístreškom s osvetlením a automatom pre výdaj cestovných lístkov. Napájanie osvetlenia prístrešku a automatu pre cestovné lístky bude riešené zo stožiarovej svorkovnice najbližšieho stĺpu verejného osvetlenia káblom typy CYKY-J 3x2,5 cez poistku 10A</w:t>
      </w:r>
      <w:r w:rsidR="00C140CC">
        <w:rPr>
          <w:rFonts w:ascii="Arial" w:hAnsi="Arial" w:cs="Arial"/>
          <w:iCs/>
          <w:sz w:val="20"/>
          <w:szCs w:val="20"/>
        </w:rPr>
        <w:t xml:space="preserve"> v stožiarovej svorkovnici</w:t>
      </w:r>
      <w:r>
        <w:rPr>
          <w:rFonts w:ascii="Arial" w:hAnsi="Arial" w:cs="Arial"/>
          <w:iCs/>
          <w:sz w:val="20"/>
          <w:szCs w:val="20"/>
        </w:rPr>
        <w:t xml:space="preserve">. Kábel bude vedený v zemi v chráničke FXKVR50. Pre zabezpečenie napájania automatu počas dňa (vypnuté verejné osvetlenie) bude toto zariadenie vybavené vstavanými batériami. Osvetlenie prístrešku bude ovládané spolu s verejným osvetlením. Presná poloha automatu bude riešená v rámci projektu MHD zastávky. Káblové prepojenie medzi automatom a osvetlením zastávky </w:t>
      </w:r>
      <w:r w:rsidR="00C140CC">
        <w:rPr>
          <w:rFonts w:ascii="Arial" w:hAnsi="Arial" w:cs="Arial"/>
          <w:iCs/>
          <w:sz w:val="20"/>
          <w:szCs w:val="20"/>
        </w:rPr>
        <w:t>a zálohovanie automatu rieši dodávateľ zastávky.</w:t>
      </w:r>
    </w:p>
    <w:p w14:paraId="20A24486" w14:textId="0C2B8FA4" w:rsidR="00614A88" w:rsidRDefault="00614A88" w:rsidP="00614A88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14:paraId="7E323A93" w14:textId="77777777" w:rsidR="00614A88" w:rsidRPr="00D836A7" w:rsidRDefault="00614A88" w:rsidP="00614A88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14:paraId="028EDD89" w14:textId="3F827E3E" w:rsidR="005C1B77" w:rsidRPr="00DE13EE" w:rsidRDefault="005C1B77" w:rsidP="005C1B77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DE13EE">
        <w:rPr>
          <w:rFonts w:ascii="Arial" w:hAnsi="Arial" w:cs="Arial"/>
          <w:b/>
          <w:i/>
          <w:sz w:val="20"/>
          <w:szCs w:val="20"/>
        </w:rPr>
        <w:t>Všetky ďalšie špecifikácie týkajúce sa napojenia, uloženia trasy a iné sú zrejmé z výkresovej časti PD.</w:t>
      </w:r>
    </w:p>
    <w:p w14:paraId="3DD57675" w14:textId="77777777" w:rsidR="005C1B77" w:rsidRPr="00DE13EE" w:rsidRDefault="005C1B77" w:rsidP="005C1B7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12E4E5B" w14:textId="469E3E2C" w:rsidR="005C1B77" w:rsidRDefault="005C1B77" w:rsidP="005C1B77">
      <w:pPr>
        <w:spacing w:line="24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DE13EE">
        <w:rPr>
          <w:rFonts w:ascii="Arial" w:eastAsia="Calibri" w:hAnsi="Arial" w:cs="Arial"/>
          <w:sz w:val="20"/>
          <w:szCs w:val="20"/>
        </w:rPr>
        <w:t xml:space="preserve">V Bratislave, </w:t>
      </w:r>
      <w:r w:rsidR="00614A88">
        <w:rPr>
          <w:rFonts w:ascii="Arial" w:eastAsia="Calibri" w:hAnsi="Arial" w:cs="Arial"/>
          <w:sz w:val="20"/>
          <w:szCs w:val="20"/>
        </w:rPr>
        <w:t>0</w:t>
      </w:r>
      <w:r w:rsidR="00252DB1">
        <w:rPr>
          <w:rFonts w:ascii="Arial" w:eastAsia="Calibri" w:hAnsi="Arial" w:cs="Arial"/>
          <w:sz w:val="20"/>
          <w:szCs w:val="20"/>
        </w:rPr>
        <w:t>6</w:t>
      </w:r>
      <w:r w:rsidR="00614A88">
        <w:rPr>
          <w:rFonts w:ascii="Arial" w:eastAsia="Calibri" w:hAnsi="Arial" w:cs="Arial"/>
          <w:sz w:val="20"/>
          <w:szCs w:val="20"/>
        </w:rPr>
        <w:t>/2023</w:t>
      </w:r>
      <w:r w:rsidRPr="00DE13EE">
        <w:rPr>
          <w:rFonts w:ascii="Arial" w:eastAsia="Calibri" w:hAnsi="Arial" w:cs="Arial"/>
          <w:sz w:val="20"/>
          <w:szCs w:val="20"/>
        </w:rPr>
        <w:tab/>
      </w:r>
      <w:r w:rsidRPr="00DE13EE">
        <w:rPr>
          <w:rFonts w:ascii="Arial" w:eastAsia="Calibri" w:hAnsi="Arial" w:cs="Arial"/>
          <w:sz w:val="20"/>
          <w:szCs w:val="20"/>
        </w:rPr>
        <w:tab/>
      </w:r>
      <w:r w:rsidRPr="00DE13EE">
        <w:rPr>
          <w:rFonts w:ascii="Arial" w:eastAsia="Calibri" w:hAnsi="Arial" w:cs="Arial"/>
          <w:sz w:val="20"/>
          <w:szCs w:val="20"/>
        </w:rPr>
        <w:tab/>
      </w:r>
      <w:r w:rsidRPr="00DE13EE">
        <w:rPr>
          <w:rFonts w:ascii="Arial" w:eastAsia="Calibri" w:hAnsi="Arial" w:cs="Arial"/>
          <w:sz w:val="20"/>
          <w:szCs w:val="20"/>
        </w:rPr>
        <w:tab/>
      </w:r>
      <w:r w:rsidRPr="00DE13EE">
        <w:rPr>
          <w:rFonts w:ascii="Arial" w:eastAsia="Calibri" w:hAnsi="Arial" w:cs="Arial"/>
          <w:sz w:val="20"/>
          <w:szCs w:val="20"/>
        </w:rPr>
        <w:tab/>
      </w:r>
      <w:r w:rsidRPr="00DE13EE">
        <w:rPr>
          <w:rFonts w:ascii="Arial" w:eastAsia="Calibri" w:hAnsi="Arial" w:cs="Arial"/>
          <w:sz w:val="20"/>
          <w:szCs w:val="20"/>
        </w:rPr>
        <w:tab/>
        <w:t xml:space="preserve">             Ing. Peter Jašš</w:t>
      </w:r>
    </w:p>
    <w:p w14:paraId="4C26D880" w14:textId="252A1A78" w:rsidR="008101F5" w:rsidRPr="001262CD" w:rsidRDefault="008101F5" w:rsidP="001262CD"/>
    <w:sectPr w:rsidR="008101F5" w:rsidRPr="001262CD" w:rsidSect="00396D38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7EA73" w14:textId="77777777" w:rsidR="003E585E" w:rsidRDefault="003E585E" w:rsidP="00396D38">
      <w:pPr>
        <w:spacing w:after="0" w:line="240" w:lineRule="auto"/>
      </w:pPr>
      <w:r>
        <w:separator/>
      </w:r>
    </w:p>
  </w:endnote>
  <w:endnote w:type="continuationSeparator" w:id="0">
    <w:p w14:paraId="2CAA408E" w14:textId="77777777" w:rsidR="003E585E" w:rsidRDefault="003E585E" w:rsidP="0039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BA79" w14:textId="77777777" w:rsidR="003E585E" w:rsidRDefault="003E585E" w:rsidP="00396D38">
    <w:pPr>
      <w:pBdr>
        <w:top w:val="single" w:sz="4" w:space="1" w:color="auto"/>
      </w:pBd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PaRELI s.r.o., Vlárska 50/A, 831 01 Bratislava</w:t>
    </w:r>
  </w:p>
  <w:p w14:paraId="55D979DD" w14:textId="77777777" w:rsidR="003E585E" w:rsidRDefault="003E585E" w:rsidP="00396D38">
    <w:pP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IČO: 47 205 555, IČ DPH: SK2023803188</w:t>
    </w:r>
  </w:p>
  <w:p w14:paraId="1324FF2F" w14:textId="4C044AF0" w:rsidR="003E585E" w:rsidRPr="00396D38" w:rsidRDefault="003E585E" w:rsidP="00396D38">
    <w:pPr>
      <w:spacing w:after="0"/>
      <w:jc w:val="center"/>
      <w:rPr>
        <w:rFonts w:eastAsiaTheme="minorEastAsia"/>
        <w:b/>
        <w:noProof/>
        <w:sz w:val="18"/>
        <w:szCs w:val="18"/>
        <w:lang w:eastAsia="sk-SK"/>
      </w:rPr>
    </w:pPr>
    <w:r>
      <w:rPr>
        <w:rFonts w:eastAsiaTheme="minorEastAsia"/>
        <w:b/>
        <w:noProof/>
        <w:sz w:val="18"/>
        <w:szCs w:val="18"/>
        <w:lang w:eastAsia="sk-SK"/>
      </w:rPr>
      <w:t xml:space="preserve">Office: </w:t>
    </w:r>
    <w:r w:rsidR="00226A01">
      <w:rPr>
        <w:b/>
        <w:bCs/>
        <w:sz w:val="18"/>
        <w:szCs w:val="18"/>
        <w:lang w:eastAsia="sk-SK"/>
      </w:rPr>
      <w:t>Haydnova ul. 20/C, 811 02 Bratislava – Staré Mesto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23AA9" w14:textId="77777777" w:rsidR="003E585E" w:rsidRDefault="003E585E" w:rsidP="00396D38">
      <w:pPr>
        <w:spacing w:after="0" w:line="240" w:lineRule="auto"/>
      </w:pPr>
      <w:r>
        <w:separator/>
      </w:r>
    </w:p>
  </w:footnote>
  <w:footnote w:type="continuationSeparator" w:id="0">
    <w:p w14:paraId="5B6F3C5A" w14:textId="77777777" w:rsidR="003E585E" w:rsidRDefault="003E585E" w:rsidP="00396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9430E" w14:textId="46659846" w:rsidR="003E585E" w:rsidRDefault="003E585E" w:rsidP="00396D38">
    <w:pPr>
      <w:pStyle w:val="Hlavika"/>
      <w:pBdr>
        <w:bottom w:val="single" w:sz="4" w:space="1" w:color="auto"/>
      </w:pBdr>
      <w:tabs>
        <w:tab w:val="clear" w:pos="9072"/>
        <w:tab w:val="left" w:pos="3402"/>
        <w:tab w:val="left" w:pos="5825"/>
      </w:tabs>
    </w:pPr>
    <w:r>
      <w:rPr>
        <w:noProof/>
        <w:lang w:eastAsia="sk-SK"/>
      </w:rPr>
      <w:drawing>
        <wp:inline distT="0" distB="0" distL="0" distR="0" wp14:anchorId="26A2DEC8" wp14:editId="428F93B1">
          <wp:extent cx="1859243" cy="363415"/>
          <wp:effectExtent l="19050" t="0" r="7657" b="0"/>
          <wp:docPr id="2" name="Obrázok 1" descr="PaRELI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RELI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9251" cy="363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  <w:r w:rsidR="002A2A89">
      <w:tab/>
    </w:r>
    <w:r w:rsidR="002A2A89">
      <w:tab/>
    </w:r>
    <w:r w:rsidR="002A2A8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122"/>
    <w:multiLevelType w:val="hybridMultilevel"/>
    <w:tmpl w:val="AFDC04EE"/>
    <w:lvl w:ilvl="0" w:tplc="99F835B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3E515B1E"/>
    <w:multiLevelType w:val="hybridMultilevel"/>
    <w:tmpl w:val="BBF41DF0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7CF0505F"/>
    <w:multiLevelType w:val="hybridMultilevel"/>
    <w:tmpl w:val="100C22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6C4029"/>
    <w:multiLevelType w:val="hybridMultilevel"/>
    <w:tmpl w:val="45F2CD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01719">
    <w:abstractNumId w:val="1"/>
  </w:num>
  <w:num w:numId="2" w16cid:durableId="173470023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17512">
    <w:abstractNumId w:val="0"/>
  </w:num>
  <w:num w:numId="4" w16cid:durableId="372652758">
    <w:abstractNumId w:val="2"/>
  </w:num>
  <w:num w:numId="5" w16cid:durableId="1384983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D38"/>
    <w:rsid w:val="00037062"/>
    <w:rsid w:val="000A05AE"/>
    <w:rsid w:val="000D65AE"/>
    <w:rsid w:val="000E6ED6"/>
    <w:rsid w:val="001262CD"/>
    <w:rsid w:val="00126472"/>
    <w:rsid w:val="00143F3D"/>
    <w:rsid w:val="00151258"/>
    <w:rsid w:val="001B628C"/>
    <w:rsid w:val="00226A01"/>
    <w:rsid w:val="00252DB1"/>
    <w:rsid w:val="002836EA"/>
    <w:rsid w:val="00287B10"/>
    <w:rsid w:val="002A2A89"/>
    <w:rsid w:val="002C5695"/>
    <w:rsid w:val="002D0ED4"/>
    <w:rsid w:val="002F3677"/>
    <w:rsid w:val="00396D38"/>
    <w:rsid w:val="003B6078"/>
    <w:rsid w:val="003D3D1D"/>
    <w:rsid w:val="003E585E"/>
    <w:rsid w:val="00522A55"/>
    <w:rsid w:val="00564D54"/>
    <w:rsid w:val="00583F94"/>
    <w:rsid w:val="005C1B77"/>
    <w:rsid w:val="005D76FF"/>
    <w:rsid w:val="00614A88"/>
    <w:rsid w:val="00620962"/>
    <w:rsid w:val="006A7830"/>
    <w:rsid w:val="006F783A"/>
    <w:rsid w:val="007D3787"/>
    <w:rsid w:val="008101F5"/>
    <w:rsid w:val="009A6250"/>
    <w:rsid w:val="00C140CC"/>
    <w:rsid w:val="00D3623F"/>
    <w:rsid w:val="00DE13EE"/>
    <w:rsid w:val="00EB0488"/>
    <w:rsid w:val="00ED40D1"/>
    <w:rsid w:val="00F707C4"/>
    <w:rsid w:val="00F84419"/>
    <w:rsid w:val="00FC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DF4E7"/>
  <w15:docId w15:val="{720249E8-1F88-4381-AC0F-601C74AE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E13E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6D38"/>
  </w:style>
  <w:style w:type="paragraph" w:styleId="Pta">
    <w:name w:val="footer"/>
    <w:basedOn w:val="Normlny"/>
    <w:link w:val="Pt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6D38"/>
  </w:style>
  <w:style w:type="paragraph" w:styleId="Textbubliny">
    <w:name w:val="Balloon Text"/>
    <w:basedOn w:val="Normlny"/>
    <w:link w:val="TextbublinyChar"/>
    <w:uiPriority w:val="99"/>
    <w:semiHidden/>
    <w:unhideWhenUsed/>
    <w:rsid w:val="00396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6D38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96D38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2F3677"/>
    <w:rPr>
      <w:i/>
      <w:iCs/>
    </w:rPr>
  </w:style>
  <w:style w:type="character" w:styleId="Hypertextovprepojenie">
    <w:name w:val="Hyperlink"/>
    <w:basedOn w:val="Predvolenpsmoodseku"/>
    <w:uiPriority w:val="99"/>
    <w:semiHidden/>
    <w:unhideWhenUsed/>
    <w:rsid w:val="002F36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jasur</dc:creator>
  <cp:lastModifiedBy>Matej Jašurek</cp:lastModifiedBy>
  <cp:revision>21</cp:revision>
  <dcterms:created xsi:type="dcterms:W3CDTF">2023-01-03T15:40:00Z</dcterms:created>
  <dcterms:modified xsi:type="dcterms:W3CDTF">2023-06-12T08:21:00Z</dcterms:modified>
</cp:coreProperties>
</file>